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Standard warranty period: 12 months from the invoice date.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Seller offers repair, replacement, or full refund for faulty items within warranty period.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Refunds not valid for self-repaired or self-damaged items.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Evidence may be required for warranty claims.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Seller warrants goods to be free from material defects and conform to specifications.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Seller's obligation: credit or replace goods within 90 days of shipment if non-conforming.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Warranty does not cover burnt parts, misuse, neglect, improper installation, or physical damage like a damaged USB slot.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Warranty can only be asserted by the buyer, not buyer's customers or users.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No liability for design errors in goods manufactured to buyer's design.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All implied warranties, conditions, and terms excluded to the fullest extent permitted by law.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Seller not liable for indirect or consequential loss or third-party claims.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Seller's total liability limited to the price paid for goods or under the contract.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Seller's liability not excluded for death or personal injury caused by negligence, fraud, or under Consumer Protection Act 2019.</w:t>
      </w:r>
    </w:p>
    <w:p w:rsidR="00FE1EEB" w:rsidRPr="00FE1EEB" w:rsidRDefault="00FE1EEB" w:rsidP="00FE1EEB">
      <w:pPr>
        <w:widowControl w:val="0"/>
        <w:rPr>
          <w:rFonts w:ascii="Bliss Pro" w:hAnsi="Bliss Pro"/>
          <w:b/>
          <w:bCs/>
          <w:lang w:val="en-US"/>
          <w14:ligatures w14:val="none"/>
        </w:rPr>
      </w:pPr>
      <w:r w:rsidRPr="00FE1EEB">
        <w:rPr>
          <w:rFonts w:ascii="Bliss Pro" w:hAnsi="Bliss Pro"/>
          <w:b/>
          <w:bCs/>
          <w:lang w:val="en-US"/>
          <w14:ligatures w14:val="none"/>
        </w:rPr>
        <w:t xml:space="preserve">Do's 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Use USB Isolators when using the logger with your laptops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Use only provided accessories and follow input voltage parameters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Read technical specifications before using the product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Check proper grounding before connecting to the vehicle's OBD power</w:t>
      </w:r>
    </w:p>
    <w:p w:rsidR="00FE1EEB" w:rsidRPr="00FE1EEB" w:rsidRDefault="00FE1EEB" w:rsidP="00FE1EEB">
      <w:pPr>
        <w:widowControl w:val="0"/>
        <w:rPr>
          <w:rFonts w:ascii="Bliss Pro" w:hAnsi="Bliss Pro"/>
          <w:b/>
          <w:bCs/>
          <w:lang w:val="en-US"/>
          <w14:ligatures w14:val="none"/>
        </w:rPr>
      </w:pPr>
      <w:r w:rsidRPr="00FE1EEB">
        <w:rPr>
          <w:rFonts w:ascii="Bliss Pro" w:hAnsi="Bliss Pro"/>
          <w:b/>
          <w:bCs/>
          <w:lang w:val="en-US"/>
          <w14:ligatures w14:val="none"/>
        </w:rPr>
        <w:t>Don'ts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color w:val="222222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Do not open the logger, or warranty will be void</w:t>
      </w:r>
    </w:p>
    <w:p w:rsidR="00FE1EEB" w:rsidRPr="00FE1EEB" w:rsidRDefault="00FE1EEB" w:rsidP="00FE1EEB">
      <w:pPr>
        <w:widowControl w:val="0"/>
        <w:ind w:left="283" w:hanging="283"/>
        <w:rPr>
          <w:rFonts w:ascii="Bliss Pro" w:hAnsi="Bliss Pro"/>
          <w:color w:val="222222"/>
          <w:lang w:val="en-US"/>
          <w14:ligatures w14:val="none"/>
        </w:rPr>
      </w:pPr>
      <w:r w:rsidRPr="00FE1EEB">
        <w:rPr>
          <w:rFonts w:ascii="Times New Roman" w:hAnsi="Times New Roman" w:cs="Times New Roman"/>
          <w:lang w:val="x-none"/>
        </w:rPr>
        <w:t>■</w:t>
      </w:r>
      <w:r w:rsidRPr="00FE1EEB">
        <w:rPr>
          <w:rFonts w:ascii="Cambria" w:hAnsi="Cambria" w:cs="Cambria"/>
        </w:rPr>
        <w:t> </w:t>
      </w:r>
      <w:r w:rsidRPr="00FE1EEB">
        <w:rPr>
          <w:rFonts w:ascii="Bliss Pro" w:hAnsi="Bliss Pro"/>
          <w:lang w:val="en-US"/>
          <w14:ligatures w14:val="none"/>
        </w:rPr>
        <w:t>Do not use vehicle USB power or power-banks for data logging purpose, as any resulting damage won't be covered under warranty</w:t>
      </w:r>
    </w:p>
    <w:p w:rsidR="00FE1EEB" w:rsidRDefault="00FE1EEB" w:rsidP="00FE1EEB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EE5B5C" w:rsidRDefault="00EE5B5C"/>
    <w:p w:rsidR="00FE1EEB" w:rsidRPr="00FE1EEB" w:rsidRDefault="00FE1EEB" w:rsidP="00FE1EEB"/>
    <w:p w:rsidR="00FE1EEB" w:rsidRPr="00FE1EEB" w:rsidRDefault="00FE1EEB" w:rsidP="00FE1EEB"/>
    <w:p w:rsidR="00FE1EEB" w:rsidRPr="00FE1EEB" w:rsidRDefault="00FE1EEB" w:rsidP="00FE1EEB"/>
    <w:p w:rsidR="00FE1EEB" w:rsidRPr="00FE1EEB" w:rsidRDefault="00FE1EEB" w:rsidP="00FE1EEB"/>
    <w:p w:rsidR="00FE1EEB" w:rsidRPr="00FE1EEB" w:rsidRDefault="00FE1EEB" w:rsidP="00FE1EEB"/>
    <w:p w:rsidR="00FE1EEB" w:rsidRPr="00FE1EEB" w:rsidRDefault="00FE1EEB" w:rsidP="00FE1EEB"/>
    <w:p w:rsidR="00FE1EEB" w:rsidRPr="00FE1EEB" w:rsidRDefault="00FE1EEB" w:rsidP="00FE1EEB"/>
    <w:p w:rsidR="00FE1EEB" w:rsidRDefault="00FE1EEB" w:rsidP="00FE1EEB"/>
    <w:p w:rsidR="00FE1EEB" w:rsidRPr="00FE1EEB" w:rsidRDefault="00FE1EEB" w:rsidP="00FE1EEB">
      <w:pPr>
        <w:jc w:val="right"/>
      </w:pPr>
    </w:p>
    <w:sectPr w:rsidR="00FE1EEB" w:rsidRPr="00FE1EE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5A7" w:rsidRDefault="007B15A7" w:rsidP="00FE1EEB">
      <w:pPr>
        <w:spacing w:after="0" w:line="240" w:lineRule="auto"/>
      </w:pPr>
      <w:r>
        <w:separator/>
      </w:r>
    </w:p>
  </w:endnote>
  <w:endnote w:type="continuationSeparator" w:id="0">
    <w:p w:rsidR="007B15A7" w:rsidRDefault="007B15A7" w:rsidP="00FE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Pro">
    <w:panose1 w:val="02000506050000020004"/>
    <w:charset w:val="00"/>
    <w:family w:val="auto"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EEB" w:rsidRPr="00FE1EEB" w:rsidRDefault="00FE1EEB" w:rsidP="00FE1EEB">
    <w:pPr>
      <w:widowControl w:val="0"/>
      <w:jc w:val="right"/>
      <w:rPr>
        <w:rFonts w:ascii="Bliss Pro" w:hAnsi="Bliss Pro"/>
        <w:sz w:val="16"/>
        <w:szCs w:val="16"/>
        <w:lang w:val="en-US"/>
        <w14:ligatures w14:val="none"/>
      </w:rPr>
    </w:pPr>
    <w:r w:rsidRPr="00FE1EEB">
      <w:rPr>
        <w:rFonts w:ascii="Bliss Pro" w:hAnsi="Bliss Pro"/>
        <w:sz w:val="16"/>
        <w:szCs w:val="16"/>
        <w:lang w:val="en-US"/>
        <w14:ligatures w14:val="none"/>
      </w:rPr>
      <w:t>Warranty and Limitation Liability: Influx Big Data Solutions Pvt Ltd</w:t>
    </w:r>
  </w:p>
  <w:p w:rsidR="00FE1EEB" w:rsidRDefault="00FE1EEB" w:rsidP="00FE1EEB">
    <w:pPr>
      <w:widowControl w:val="0"/>
      <w:rPr>
        <w:lang w:val="en-US"/>
        <w14:ligatures w14:val="none"/>
      </w:rPr>
    </w:pPr>
    <w:r>
      <w:rPr>
        <w:lang w:val="en-US"/>
        <w14:ligatures w14:val="none"/>
      </w:rPr>
      <w:t> </w:t>
    </w:r>
  </w:p>
  <w:p w:rsidR="00FE1EEB" w:rsidRDefault="00FE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5A7" w:rsidRDefault="007B15A7" w:rsidP="00FE1EEB">
      <w:pPr>
        <w:spacing w:after="0" w:line="240" w:lineRule="auto"/>
      </w:pPr>
      <w:r>
        <w:separator/>
      </w:r>
    </w:p>
  </w:footnote>
  <w:footnote w:type="continuationSeparator" w:id="0">
    <w:p w:rsidR="007B15A7" w:rsidRDefault="007B15A7" w:rsidP="00FE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EEB" w:rsidRPr="00FE1EEB" w:rsidRDefault="00FE1EEB" w:rsidP="00FE1EEB">
    <w:pPr>
      <w:widowControl w:val="0"/>
      <w:tabs>
        <w:tab w:val="left" w:pos="1483"/>
      </w:tabs>
      <w:spacing w:before="192"/>
      <w:ind w:right="258"/>
      <w:rPr>
        <w:rFonts w:ascii="Bliss Pro" w:hAnsi="Bliss Pro"/>
        <w:b/>
        <w:bCs/>
        <w:sz w:val="24"/>
        <w:szCs w:val="24"/>
        <w:lang w:val="en-US"/>
        <w14:ligatures w14:val="none"/>
      </w:rPr>
    </w:pPr>
    <w:r w:rsidRPr="00FE1EEB">
      <w:rPr>
        <w:rFonts w:ascii="Times New Roman" w:hAnsi="Times New Roman" w:cs="Times New Roman"/>
        <w:noProof/>
        <w:color w:val="auto"/>
        <w:kern w:val="0"/>
        <w:sz w:val="40"/>
        <w:szCs w:val="40"/>
        <w14:ligatures w14:val="none"/>
        <w14:cntxtAlts w14:val="0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36195</wp:posOffset>
          </wp:positionV>
          <wp:extent cx="991870" cy="329565"/>
          <wp:effectExtent l="0" t="0" r="0" b="0"/>
          <wp:wrapNone/>
          <wp:docPr id="664217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Warranty</w:t>
    </w:r>
    <w:r w:rsidRPr="00FE1EEB">
      <w:rPr>
        <w:rFonts w:ascii="Bliss Pro" w:hAnsi="Bliss Pro"/>
        <w:b/>
        <w:bCs/>
        <w:spacing w:val="-26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and</w:t>
    </w:r>
    <w:r w:rsidRPr="00FE1EEB">
      <w:rPr>
        <w:rFonts w:ascii="Bliss Pro" w:hAnsi="Bliss Pro"/>
        <w:b/>
        <w:bCs/>
        <w:spacing w:val="-25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Limitation</w:t>
    </w:r>
    <w:r w:rsidRPr="00FE1EEB">
      <w:rPr>
        <w:rFonts w:ascii="Bliss Pro" w:hAnsi="Bliss Pro"/>
        <w:b/>
        <w:bCs/>
        <w:spacing w:val="-27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of</w:t>
    </w:r>
    <w:r w:rsidRPr="00FE1EEB">
      <w:rPr>
        <w:rFonts w:ascii="Bliss Pro" w:hAnsi="Bliss Pro"/>
        <w:b/>
        <w:bCs/>
        <w:spacing w:val="-25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Liability</w:t>
    </w:r>
    <w:r w:rsidRPr="00FE1EEB">
      <w:rPr>
        <w:rFonts w:ascii="Bliss Pro" w:hAnsi="Bliss Pro"/>
        <w:b/>
        <w:bCs/>
        <w:spacing w:val="-24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–</w:t>
    </w:r>
    <w:r w:rsidRPr="00FE1EEB">
      <w:rPr>
        <w:rFonts w:ascii="Bliss Pro" w:hAnsi="Bliss Pro"/>
        <w:b/>
        <w:bCs/>
        <w:spacing w:val="-26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Please</w:t>
    </w:r>
    <w:r w:rsidRPr="00FE1EEB">
      <w:rPr>
        <w:rFonts w:ascii="Bliss Pro" w:hAnsi="Bliss Pro"/>
        <w:b/>
        <w:bCs/>
        <w:spacing w:val="-27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Read</w:t>
    </w:r>
    <w:r w:rsidRPr="00FE1EEB">
      <w:rPr>
        <w:rFonts w:ascii="Bliss Pro" w:hAnsi="Bliss Pro"/>
        <w:b/>
        <w:bCs/>
        <w:spacing w:val="-24"/>
        <w:sz w:val="24"/>
        <w:szCs w:val="24"/>
        <w:lang w:val="en-US"/>
        <w14:ligatures w14:val="none"/>
      </w:rPr>
      <w:t xml:space="preserve"> </w:t>
    </w:r>
    <w:r w:rsidRPr="00FE1EEB">
      <w:rPr>
        <w:rFonts w:ascii="Bliss Pro" w:hAnsi="Bliss Pro"/>
        <w:b/>
        <w:bCs/>
        <w:sz w:val="24"/>
        <w:szCs w:val="24"/>
        <w:lang w:val="en-US"/>
        <w14:ligatures w14:val="none"/>
      </w:rPr>
      <w:t>Carefully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2MDQzsTQ0NjM1sLBU0lEKTi0uzszPAykwrAUAJQjqTSwAAAA="/>
  </w:docVars>
  <w:rsids>
    <w:rsidRoot w:val="00FE1EEB"/>
    <w:rsid w:val="00377131"/>
    <w:rsid w:val="007B15A7"/>
    <w:rsid w:val="00EE5B5C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7054F"/>
  <w15:chartTrackingRefBased/>
  <w15:docId w15:val="{E09501BA-B9D4-45D2-BFE8-BDD28FCF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E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131"/>
    <w:pPr>
      <w:keepNext/>
      <w:keepLines/>
      <w:spacing w:before="40" w:after="0" w:line="259" w:lineRule="auto"/>
      <w:outlineLvl w:val="1"/>
    </w:pPr>
    <w:rPr>
      <w:rFonts w:ascii="Bliss Pro" w:eastAsiaTheme="majorEastAsia" w:hAnsi="Bliss Pro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131"/>
    <w:rPr>
      <w:rFonts w:ascii="Bliss Pro" w:eastAsiaTheme="majorEastAsia" w:hAnsi="Bliss Pro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EB"/>
    <w:rPr>
      <w:rFonts w:ascii="Calibri" w:eastAsia="Times New Roman" w:hAnsi="Calibri" w:cs="Calibri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EB"/>
    <w:rPr>
      <w:rFonts w:ascii="Calibri" w:eastAsia="Times New Roman" w:hAnsi="Calibri" w:cs="Calibri"/>
      <w:color w:val="000000"/>
      <w:kern w:val="28"/>
      <w:sz w:val="20"/>
      <w:szCs w:val="20"/>
      <w:lang w:eastAsia="en-I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Thakur</dc:creator>
  <cp:keywords/>
  <dc:description/>
  <cp:lastModifiedBy>Misha Thakur</cp:lastModifiedBy>
  <cp:revision>1</cp:revision>
  <dcterms:created xsi:type="dcterms:W3CDTF">2023-06-16T09:34:00Z</dcterms:created>
  <dcterms:modified xsi:type="dcterms:W3CDTF">2023-06-16T09:36:00Z</dcterms:modified>
</cp:coreProperties>
</file>